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BE4503" w14:paraId="52B3D900" w14:textId="77777777" w:rsidTr="00BE4503">
        <w:tc>
          <w:tcPr>
            <w:tcW w:w="2263" w:type="dxa"/>
          </w:tcPr>
          <w:p w14:paraId="35CC5384" w14:textId="5898C8EA" w:rsidR="00BE4503" w:rsidRDefault="00BE4503" w:rsidP="00D02038">
            <w:pPr>
              <w:rPr>
                <w:rFonts w:ascii="Calibri" w:hAnsi="Calibri"/>
                <w:sz w:val="32"/>
                <w:szCs w:val="32"/>
              </w:rPr>
            </w:pPr>
            <w:r>
              <w:rPr>
                <w:rFonts w:ascii="Arial" w:hAnsi="Arial" w:cs="Arial"/>
                <w:b/>
                <w:noProof/>
                <w:lang w:eastAsia="en-GB"/>
              </w:rPr>
              <w:drawing>
                <wp:anchor distT="0" distB="0" distL="114300" distR="114300" simplePos="0" relativeHeight="251659264" behindDoc="0" locked="0" layoutInCell="1" allowOverlap="1" wp14:anchorId="786092C5" wp14:editId="2BEB80A2">
                  <wp:simplePos x="0" y="0"/>
                  <wp:positionH relativeFrom="column">
                    <wp:posOffset>-6350</wp:posOffset>
                  </wp:positionH>
                  <wp:positionV relativeFrom="paragraph">
                    <wp:posOffset>7620</wp:posOffset>
                  </wp:positionV>
                  <wp:extent cx="792480" cy="6675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667512"/>
                          </a:xfrm>
                          <a:prstGeom prst="rect">
                            <a:avLst/>
                          </a:prstGeom>
                        </pic:spPr>
                      </pic:pic>
                    </a:graphicData>
                  </a:graphic>
                </wp:anchor>
              </w:drawing>
            </w:r>
          </w:p>
        </w:tc>
        <w:tc>
          <w:tcPr>
            <w:tcW w:w="7365" w:type="dxa"/>
          </w:tcPr>
          <w:p w14:paraId="7AACCFFB" w14:textId="710134AD" w:rsidR="00BE4503" w:rsidRPr="00BE4503" w:rsidRDefault="00BE4503" w:rsidP="00BE4503">
            <w:pPr>
              <w:jc w:val="center"/>
              <w:rPr>
                <w:rFonts w:ascii="Calibri" w:hAnsi="Calibri" w:cs="Calibri"/>
                <w:sz w:val="36"/>
                <w:szCs w:val="36"/>
              </w:rPr>
            </w:pPr>
            <w:r w:rsidRPr="00BE4503">
              <w:rPr>
                <w:rFonts w:ascii="Calibri" w:eastAsiaTheme="majorEastAsia" w:hAnsi="Calibri" w:cs="Calibri"/>
                <w:b/>
                <w:color w:val="70AD47" w:themeColor="accent6"/>
                <w:sz w:val="36"/>
                <w:szCs w:val="36"/>
              </w:rPr>
              <w:t>GOVERNING BODY CODE OF CONDUCT</w:t>
            </w:r>
          </w:p>
        </w:tc>
      </w:tr>
    </w:tbl>
    <w:p w14:paraId="097591C7" w14:textId="77777777" w:rsidR="00D02038" w:rsidRPr="00D02038" w:rsidRDefault="00D02038" w:rsidP="00D02038">
      <w:pPr>
        <w:spacing w:after="0"/>
        <w:rPr>
          <w:rFonts w:ascii="Calibri" w:hAnsi="Calibri"/>
          <w:sz w:val="32"/>
          <w:szCs w:val="32"/>
        </w:rPr>
      </w:pPr>
    </w:p>
    <w:p w14:paraId="3E5A40DA" w14:textId="77777777" w:rsidR="00567BFA" w:rsidRDefault="00567BFA" w:rsidP="003A5D25">
      <w:pPr>
        <w:tabs>
          <w:tab w:val="left" w:pos="1552"/>
        </w:tabs>
        <w:rPr>
          <w:sz w:val="28"/>
          <w:szCs w:val="28"/>
        </w:rPr>
      </w:pPr>
    </w:p>
    <w:p w14:paraId="7C47EF7C" w14:textId="0E4EB3C2" w:rsidR="00E435D6" w:rsidRPr="00BE4503" w:rsidRDefault="00E435D6" w:rsidP="007C21B7">
      <w:pPr>
        <w:pStyle w:val="Heading2"/>
        <w:rPr>
          <w:color w:val="70AD47" w:themeColor="accent6"/>
        </w:rPr>
      </w:pPr>
      <w:r w:rsidRPr="00BE4503">
        <w:rPr>
          <w:color w:val="70AD47" w:themeColor="accent6"/>
        </w:rPr>
        <w:t xml:space="preserve">As governors, we will </w:t>
      </w:r>
      <w:r w:rsidR="00FF18F8" w:rsidRPr="00BE4503">
        <w:rPr>
          <w:color w:val="70AD47" w:themeColor="accent6"/>
        </w:rPr>
        <w:t>focus</w:t>
      </w:r>
      <w:r w:rsidRPr="00BE4503">
        <w:rPr>
          <w:color w:val="70AD47" w:themeColor="accent6"/>
        </w:rPr>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0E0EDA99"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holding </w:t>
      </w:r>
      <w:r w:rsidR="00BE4503">
        <w:rPr>
          <w:rFonts w:eastAsiaTheme="majorEastAsia" w:cstheme="majorBidi"/>
          <w:bCs/>
        </w:rPr>
        <w:t>the Headteacher</w:t>
      </w:r>
      <w:r w:rsidRPr="0012717E">
        <w:rPr>
          <w:rFonts w:eastAsiaTheme="majorEastAsia" w:cstheme="majorBidi"/>
          <w:bCs/>
        </w:rPr>
        <w:t xml:space="preserve"> to account for the educational performance of the </w:t>
      </w:r>
      <w:r w:rsidR="00BE4503">
        <w:rPr>
          <w:rFonts w:eastAsiaTheme="majorEastAsia" w:cstheme="majorBidi"/>
          <w:bCs/>
        </w:rPr>
        <w:t>school</w:t>
      </w:r>
      <w:r w:rsidRPr="0012717E">
        <w:rPr>
          <w:rFonts w:eastAsiaTheme="majorEastAsia" w:cstheme="majorBidi"/>
          <w:bCs/>
        </w:rPr>
        <w:t xml:space="preserve"> and its pupils and the performance management of staff</w:t>
      </w:r>
    </w:p>
    <w:p w14:paraId="3435FB64" w14:textId="70407851"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overseeing the financial performance of the </w:t>
      </w:r>
      <w:r w:rsidR="00BE4503">
        <w:rPr>
          <w:rFonts w:eastAsiaTheme="majorEastAsia" w:cstheme="majorBidi"/>
          <w:bCs/>
        </w:rPr>
        <w:t>school</w:t>
      </w:r>
      <w:r w:rsidRPr="0012717E">
        <w:rPr>
          <w:rFonts w:eastAsiaTheme="majorEastAsia" w:cstheme="majorBidi"/>
          <w:bCs/>
        </w:rPr>
        <w:t xml:space="preserve">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4CED48E7" w:rsidR="00E435D6" w:rsidRPr="00BE4503" w:rsidRDefault="00E435D6" w:rsidP="007C21B7">
      <w:pPr>
        <w:pStyle w:val="Heading2"/>
        <w:rPr>
          <w:color w:val="70AD47" w:themeColor="accent6"/>
        </w:rPr>
      </w:pPr>
      <w:r w:rsidRPr="00BE4503">
        <w:rPr>
          <w:color w:val="70AD47" w:themeColor="accent6"/>
        </w:rPr>
        <w:t xml:space="preserve">As individuals on the </w:t>
      </w:r>
      <w:r w:rsidR="00BE4503" w:rsidRPr="00BE4503">
        <w:rPr>
          <w:color w:val="70AD47" w:themeColor="accent6"/>
        </w:rPr>
        <w:t>Governing body</w:t>
      </w:r>
      <w:r w:rsidRPr="00BE4503">
        <w:rPr>
          <w:color w:val="70AD47" w:themeColor="accent6"/>
        </w:rPr>
        <w:t xml:space="preserve"> we agree to:</w:t>
      </w:r>
    </w:p>
    <w:p w14:paraId="43B26C93" w14:textId="77777777" w:rsidR="00E435D6" w:rsidRPr="00BE4503" w:rsidRDefault="00E435D6" w:rsidP="007C21B7">
      <w:pPr>
        <w:pStyle w:val="Heading2"/>
        <w:spacing w:before="160"/>
        <w:rPr>
          <w:color w:val="70AD47" w:themeColor="accent6"/>
        </w:rPr>
      </w:pPr>
      <w:r w:rsidRPr="00BE4503">
        <w:rPr>
          <w:color w:val="70AD47" w:themeColor="accent6"/>
        </w:rPr>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52B2F0B8"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w:t>
      </w:r>
    </w:p>
    <w:p w14:paraId="0A3E9439" w14:textId="193C2A03"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 policies and procedures as set out by the relevant governing documents and law.</w:t>
      </w:r>
    </w:p>
    <w:p w14:paraId="1DC91478" w14:textId="775E6B38"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60E32EFC"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39E2A800"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only speak or act on behalf of the </w:t>
      </w:r>
      <w:r w:rsidR="00BE4503">
        <w:rPr>
          <w:rFonts w:eastAsiaTheme="majorEastAsia" w:cstheme="majorBidi"/>
          <w:bCs/>
        </w:rPr>
        <w:t>Governing body</w:t>
      </w:r>
      <w:r w:rsidRPr="0012717E">
        <w:rPr>
          <w:rFonts w:eastAsiaTheme="majorEastAsia" w:cstheme="majorBidi"/>
          <w:bCs/>
        </w:rPr>
        <w:t xml:space="preserve">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7C6C9C94"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reputation in our private communications (including on social media).</w:t>
      </w:r>
    </w:p>
    <w:p w14:paraId="16F774FF" w14:textId="77777777" w:rsidR="00B21632" w:rsidRPr="00BE4503" w:rsidRDefault="00B21632">
      <w:pPr>
        <w:pStyle w:val="Heading2"/>
        <w:rPr>
          <w:color w:val="70AD47" w:themeColor="accent6"/>
        </w:rPr>
      </w:pPr>
      <w:r w:rsidRPr="00BE4503">
        <w:rPr>
          <w:color w:val="70AD47" w:themeColor="accent6"/>
        </w:rPr>
        <w:t>Demonstrate our commitment to the role</w:t>
      </w:r>
    </w:p>
    <w:p w14:paraId="2E501B27" w14:textId="7727B4C6"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 xml:space="preserve">,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77AC6B5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 well and respond to opportunities to involve ourselves in school activities.</w:t>
      </w:r>
    </w:p>
    <w:p w14:paraId="6B1368A3" w14:textId="7EFC940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w:t>
      </w:r>
      <w:r w:rsidR="00BE4503">
        <w:rPr>
          <w:rFonts w:eastAsiaTheme="majorEastAsia" w:cstheme="majorBidi"/>
          <w:bCs/>
        </w:rPr>
        <w:t>Governing body</w:t>
      </w:r>
      <w:r w:rsidRPr="00B21632">
        <w:rPr>
          <w:rFonts w:eastAsiaTheme="majorEastAsia" w:cstheme="majorBidi"/>
          <w:bCs/>
        </w:rPr>
        <w:t xml:space="preserve">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E4503" w:rsidRDefault="00B21632">
      <w:pPr>
        <w:pStyle w:val="Heading2"/>
        <w:rPr>
          <w:color w:val="70AD47" w:themeColor="accent6"/>
        </w:rPr>
      </w:pPr>
      <w:r w:rsidRPr="00BE4503">
        <w:rPr>
          <w:color w:val="70AD47" w:themeColor="accent6"/>
        </w:rPr>
        <w:lastRenderedPageBreak/>
        <w:t xml:space="preserve">Build and maintain relationships </w:t>
      </w:r>
    </w:p>
    <w:p w14:paraId="6A628E48" w14:textId="6D7A54B8"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w:t>
      </w:r>
    </w:p>
    <w:p w14:paraId="45BBC88B" w14:textId="0ED31369"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 xml:space="preserve">We will express views openly, courteously and respectfully in all our communications with </w:t>
      </w:r>
      <w:r w:rsidR="00BE4503">
        <w:rPr>
          <w:rFonts w:eastAsiaTheme="majorEastAsia" w:cstheme="majorBidi"/>
          <w:bCs/>
        </w:rPr>
        <w:t>Governing body</w:t>
      </w:r>
      <w:r w:rsidRPr="00B21632">
        <w:rPr>
          <w:rFonts w:eastAsiaTheme="majorEastAsia" w:cstheme="majorBidi"/>
          <w:bCs/>
        </w:rPr>
        <w:t xml:space="preserve">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24DFCF0D"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 xml:space="preserve">We will support the chair in their role of leading the </w:t>
      </w:r>
      <w:r w:rsidR="00BE4503">
        <w:rPr>
          <w:rFonts w:cs="Arial"/>
        </w:rPr>
        <w:t>Governing body</w:t>
      </w:r>
      <w:r w:rsidRPr="00B21632">
        <w:rPr>
          <w:rFonts w:cs="Arial"/>
        </w:rPr>
        <w:t xml:space="preserve"> and ensuring appropriate conduct</w:t>
      </w:r>
      <w:r>
        <w:rPr>
          <w:rFonts w:cs="Arial"/>
        </w:rPr>
        <w:t>.</w:t>
      </w:r>
    </w:p>
    <w:p w14:paraId="5215374B" w14:textId="77777777" w:rsidR="00B21632" w:rsidRPr="00BE4503" w:rsidRDefault="00B21632">
      <w:pPr>
        <w:pStyle w:val="Heading2"/>
        <w:rPr>
          <w:color w:val="70AD47" w:themeColor="accent6"/>
        </w:rPr>
      </w:pPr>
      <w:r w:rsidRPr="00BE4503">
        <w:rPr>
          <w:color w:val="70AD47" w:themeColor="accent6"/>
        </w:rPr>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5730814D"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 xml:space="preserve">We will not reveal the details of any </w:t>
      </w:r>
      <w:r w:rsidR="00BE4503">
        <w:rPr>
          <w:rFonts w:eastAsiaTheme="majorEastAsia" w:cstheme="majorBidi"/>
          <w:bCs/>
        </w:rPr>
        <w:t>G</w:t>
      </w:r>
      <w:r w:rsidRPr="00B21632">
        <w:rPr>
          <w:rFonts w:eastAsiaTheme="majorEastAsia" w:cstheme="majorBidi"/>
          <w:bCs/>
        </w:rPr>
        <w:t>overning bod</w:t>
      </w:r>
      <w:r w:rsidR="00BE4503">
        <w:rPr>
          <w:rFonts w:eastAsiaTheme="majorEastAsia" w:cstheme="majorBidi"/>
          <w:bCs/>
        </w:rPr>
        <w:t>y</w:t>
      </w:r>
      <w:r w:rsidRPr="00B21632">
        <w:rPr>
          <w:rFonts w:eastAsiaTheme="majorEastAsia" w:cstheme="majorBidi"/>
          <w:bCs/>
        </w:rPr>
        <w:t xml:space="preserve">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E4503" w:rsidRDefault="00B21632">
      <w:pPr>
        <w:pStyle w:val="Heading2"/>
        <w:rPr>
          <w:color w:val="70AD47" w:themeColor="accent6"/>
        </w:rPr>
      </w:pPr>
      <w:r w:rsidRPr="00BE4503">
        <w:rPr>
          <w:color w:val="70AD47" w:themeColor="accent6"/>
        </w:rPr>
        <w:t>Declare conflicts of interest and be transparent</w:t>
      </w:r>
    </w:p>
    <w:p w14:paraId="07600D32" w14:textId="3229FE81"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will declare any business, personal or other interest that we have in connection with the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1BF9A7D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w:t>
      </w:r>
      <w:r w:rsidR="00BE4503">
        <w:rPr>
          <w:rFonts w:eastAsiaTheme="majorEastAsia" w:cstheme="majorBidi"/>
          <w:bCs/>
        </w:rPr>
        <w:t>’</w:t>
      </w:r>
      <w:r w:rsidRPr="00B21632">
        <w:rPr>
          <w:rFonts w:eastAsiaTheme="majorEastAsia" w:cstheme="majorBidi"/>
          <w:bCs/>
        </w:rPr>
        <w:t>s website.</w:t>
      </w:r>
    </w:p>
    <w:p w14:paraId="6C1D56E2" w14:textId="1BD7E2DD"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32DB4292"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w:t>
      </w:r>
      <w:r w:rsidR="00BE4503">
        <w:rPr>
          <w:rFonts w:eastAsiaTheme="majorEastAsia" w:cstheme="majorBidi"/>
          <w:bCs/>
        </w:rPr>
        <w:t xml:space="preserve">Governing </w:t>
      </w:r>
      <w:r w:rsidRPr="00B21632">
        <w:rPr>
          <w:rFonts w:eastAsiaTheme="majorEastAsia" w:cstheme="majorBidi"/>
          <w:bCs/>
        </w:rPr>
        <w:t>bod</w:t>
      </w:r>
      <w:r w:rsidR="00BE4503">
        <w:rPr>
          <w:rFonts w:eastAsiaTheme="majorEastAsia" w:cstheme="majorBidi"/>
          <w:bCs/>
        </w:rPr>
        <w:t>y</w:t>
      </w:r>
      <w:r w:rsidRPr="00B21632">
        <w:rPr>
          <w:rFonts w:eastAsiaTheme="majorEastAsia" w:cstheme="majorBidi"/>
          <w:bCs/>
        </w:rPr>
        <w:t xml:space="preserve">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0CD1826B" w14:textId="77777777" w:rsidR="00696838" w:rsidRPr="000E5D25" w:rsidRDefault="00696838" w:rsidP="00696838">
      <w:pPr>
        <w:spacing w:after="0" w:line="276" w:lineRule="auto"/>
        <w:rPr>
          <w:rFonts w:cs="Arial"/>
          <w:iCs/>
        </w:rPr>
      </w:pPr>
      <w:bookmarkStart w:id="0" w:name="_Hlk47360994"/>
      <w:r w:rsidRPr="000E5D25">
        <w:rPr>
          <w:rFonts w:cs="Arial"/>
          <w:iCs/>
        </w:rPr>
        <w:t>We understand that potential or perceived breaches of this code will be taken seriously and that a breach could lead to formal sanctions.</w:t>
      </w:r>
    </w:p>
    <w:bookmarkEnd w:id="0"/>
    <w:p w14:paraId="5C84E928" w14:textId="568EE210" w:rsidR="00696838" w:rsidRDefault="00696838" w:rsidP="00696838">
      <w:pPr>
        <w:spacing w:after="0"/>
        <w:rPr>
          <w:rFonts w:cs="Arial"/>
          <w:color w:val="2E74B5"/>
        </w:rPr>
      </w:pPr>
    </w:p>
    <w:p w14:paraId="42835C33" w14:textId="4474E8F1" w:rsidR="00BE4503" w:rsidRDefault="00BE4503" w:rsidP="00696838">
      <w:pPr>
        <w:spacing w:after="0"/>
        <w:rPr>
          <w:rFonts w:cs="Arial"/>
          <w:color w:val="2E74B5"/>
        </w:rPr>
      </w:pPr>
    </w:p>
    <w:p w14:paraId="54194C47" w14:textId="69901AC1" w:rsidR="00BE4503" w:rsidRDefault="00BE4503" w:rsidP="00696838">
      <w:pPr>
        <w:spacing w:after="0"/>
        <w:rPr>
          <w:rFonts w:cs="Arial"/>
          <w:color w:val="2E74B5"/>
        </w:rPr>
      </w:pPr>
    </w:p>
    <w:p w14:paraId="585F4B95" w14:textId="5AE37B6E" w:rsidR="00BE4503" w:rsidRDefault="00BE4503" w:rsidP="00696838">
      <w:pPr>
        <w:spacing w:after="0"/>
        <w:rPr>
          <w:rFonts w:cs="Arial"/>
          <w:color w:val="2E74B5"/>
        </w:rPr>
      </w:pPr>
    </w:p>
    <w:p w14:paraId="6402FECE" w14:textId="61F6087D" w:rsidR="00BE4503" w:rsidRDefault="00BE4503" w:rsidP="00696838">
      <w:pPr>
        <w:spacing w:after="0"/>
        <w:rPr>
          <w:rFonts w:cs="Arial"/>
          <w:color w:val="2E74B5"/>
        </w:rPr>
      </w:pPr>
    </w:p>
    <w:p w14:paraId="36B09394" w14:textId="2F1A6B62" w:rsidR="00BE4503" w:rsidRDefault="00BE4503" w:rsidP="00696838">
      <w:pPr>
        <w:spacing w:after="0"/>
        <w:rPr>
          <w:rFonts w:cs="Arial"/>
          <w:color w:val="2E74B5"/>
        </w:rPr>
      </w:pPr>
    </w:p>
    <w:p w14:paraId="2396678B" w14:textId="77777777" w:rsidR="00BE4503" w:rsidRDefault="00BE4503" w:rsidP="00696838">
      <w:pPr>
        <w:spacing w:after="0"/>
        <w:rPr>
          <w:rFonts w:cs="Arial"/>
          <w:color w:val="2E74B5"/>
        </w:rPr>
      </w:pPr>
    </w:p>
    <w:tbl>
      <w:tblPr>
        <w:tblStyle w:val="TableGrid"/>
        <w:tblW w:w="0" w:type="auto"/>
        <w:shd w:val="clear" w:color="auto" w:fill="70AD47" w:themeFill="accent6"/>
        <w:tblLook w:val="04A0" w:firstRow="1" w:lastRow="0" w:firstColumn="1" w:lastColumn="0" w:noHBand="0" w:noVBand="1"/>
      </w:tblPr>
      <w:tblGrid>
        <w:gridCol w:w="9628"/>
      </w:tblGrid>
      <w:tr w:rsidR="00BE4503" w14:paraId="28BD9ED9" w14:textId="77777777" w:rsidTr="00BE4503">
        <w:tc>
          <w:tcPr>
            <w:tcW w:w="9628" w:type="dxa"/>
            <w:shd w:val="clear" w:color="auto" w:fill="C5E0B3" w:themeFill="accent6" w:themeFillTint="66"/>
          </w:tcPr>
          <w:p w14:paraId="16097F8E" w14:textId="77777777" w:rsidR="00BE4503" w:rsidRPr="00BE4503" w:rsidRDefault="00BE4503" w:rsidP="00BE4503">
            <w:pPr>
              <w:rPr>
                <w:rFonts w:eastAsiaTheme="majorEastAsia" w:cstheme="majorBidi"/>
                <w:b/>
              </w:rPr>
            </w:pPr>
            <w:r w:rsidRPr="00BE4503">
              <w:rPr>
                <w:rFonts w:eastAsiaTheme="majorEastAsia" w:cstheme="majorBidi"/>
                <w:b/>
              </w:rPr>
              <w:t>Adopted by Appletree Gardens First School Governing body on 23 September 2020</w:t>
            </w:r>
          </w:p>
          <w:p w14:paraId="17114D40" w14:textId="77777777" w:rsidR="00BE4503" w:rsidRPr="00BE4503" w:rsidRDefault="00BE4503" w:rsidP="00BE4503">
            <w:pPr>
              <w:rPr>
                <w:rFonts w:eastAsiaTheme="majorEastAsia" w:cstheme="majorBidi"/>
                <w:b/>
              </w:rPr>
            </w:pPr>
          </w:p>
          <w:p w14:paraId="16362D8C" w14:textId="77777777" w:rsidR="00BE4503" w:rsidRPr="00BE4503" w:rsidRDefault="00BE4503" w:rsidP="00BE4503">
            <w:pPr>
              <w:rPr>
                <w:rFonts w:eastAsiaTheme="majorEastAsia" w:cstheme="majorBidi"/>
                <w:b/>
              </w:rPr>
            </w:pPr>
          </w:p>
          <w:p w14:paraId="712EDE03" w14:textId="13555C57" w:rsidR="00BE4503" w:rsidRPr="00BE4503" w:rsidRDefault="00F232E4" w:rsidP="00BE4503">
            <w:pPr>
              <w:rPr>
                <w:rFonts w:eastAsiaTheme="majorEastAsia" w:cstheme="majorBidi"/>
                <w:b/>
              </w:rPr>
            </w:pPr>
            <w:r>
              <w:rPr>
                <w:rFonts w:eastAsiaTheme="majorEastAsia" w:cstheme="majorBidi"/>
                <w:b/>
              </w:rPr>
              <w:t xml:space="preserve">Signed        </w:t>
            </w:r>
            <w:proofErr w:type="spellStart"/>
            <w:r>
              <w:rPr>
                <w:rFonts w:eastAsiaTheme="majorEastAsia" w:cstheme="majorBidi"/>
                <w:b/>
                <w:i/>
                <w:sz w:val="36"/>
                <w:szCs w:val="36"/>
              </w:rPr>
              <w:t>L.Clay</w:t>
            </w:r>
            <w:proofErr w:type="spellEnd"/>
            <w:r>
              <w:rPr>
                <w:rFonts w:eastAsiaTheme="majorEastAsia" w:cstheme="majorBidi"/>
                <w:b/>
                <w:i/>
                <w:sz w:val="36"/>
                <w:szCs w:val="36"/>
              </w:rPr>
              <w:t xml:space="preserve">     </w:t>
            </w:r>
            <w:r w:rsidR="00BE4503" w:rsidRPr="00BE4503">
              <w:rPr>
                <w:rFonts w:eastAsiaTheme="majorEastAsia" w:cstheme="majorBidi"/>
                <w:b/>
              </w:rPr>
              <w:t xml:space="preserve"> Chair of Governors</w:t>
            </w:r>
          </w:p>
          <w:p w14:paraId="0688B1F7" w14:textId="77777777" w:rsidR="00BE4503" w:rsidRPr="00BE4503" w:rsidRDefault="00BE4503" w:rsidP="00BE4503">
            <w:pPr>
              <w:rPr>
                <w:rFonts w:eastAsiaTheme="majorEastAsia" w:cstheme="majorBidi"/>
                <w:b/>
              </w:rPr>
            </w:pPr>
          </w:p>
          <w:p w14:paraId="703BD1F1" w14:textId="77777777" w:rsidR="00BE4503" w:rsidRPr="00BE4503" w:rsidRDefault="00BE4503" w:rsidP="00BE4503">
            <w:pPr>
              <w:rPr>
                <w:rFonts w:eastAsiaTheme="majorEastAsia" w:cstheme="majorBidi"/>
                <w:b/>
              </w:rPr>
            </w:pPr>
            <w:r w:rsidRPr="00BE4503">
              <w:rPr>
                <w:rFonts w:eastAsiaTheme="majorEastAsia" w:cstheme="majorBidi"/>
                <w:b/>
              </w:rPr>
              <w:t>The Governing body agree that this code of conduct will be reviewed annually, upon significant changes to the law and policy or as needed and it will be endorsed by the full Governing body.</w:t>
            </w:r>
          </w:p>
          <w:p w14:paraId="473DCBBB" w14:textId="38BE1BC3" w:rsidR="00BE4503" w:rsidRPr="00BE4503" w:rsidRDefault="00BE4503" w:rsidP="00BE4503">
            <w:pPr>
              <w:rPr>
                <w:rFonts w:eastAsiaTheme="majorEastAsia" w:cstheme="majorBidi"/>
                <w:b/>
              </w:rPr>
            </w:pPr>
          </w:p>
        </w:tc>
      </w:tr>
    </w:tbl>
    <w:p w14:paraId="13F3D3E1" w14:textId="77777777" w:rsidR="00B21632" w:rsidRPr="00B21632" w:rsidRDefault="00B21632" w:rsidP="00BE4503">
      <w:pPr>
        <w:rPr>
          <w:rFonts w:eastAsiaTheme="majorEastAsia" w:cstheme="majorBidi"/>
          <w:bCs/>
        </w:rPr>
      </w:pPr>
    </w:p>
    <w:sectPr w:rsidR="00B21632" w:rsidRPr="00B21632" w:rsidSect="00504E44">
      <w:headerReference w:type="default" r:id="rId9"/>
      <w:footerReference w:type="default" r:id="rId10"/>
      <w:footerReference w:type="first" r:id="rId11"/>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E7FE1" w14:textId="77777777" w:rsidR="00FA2FBB" w:rsidRDefault="00FA2FBB" w:rsidP="00E852B1">
      <w:pPr>
        <w:spacing w:after="0" w:line="240" w:lineRule="auto"/>
      </w:pPr>
      <w:r>
        <w:separator/>
      </w:r>
    </w:p>
  </w:endnote>
  <w:endnote w:type="continuationSeparator" w:id="0">
    <w:p w14:paraId="712B3D28" w14:textId="77777777" w:rsidR="00FA2FBB" w:rsidRDefault="00FA2FBB"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4D097280" w:rsidR="00D23CBC" w:rsidRPr="0073394D" w:rsidRDefault="00D23CBC" w:rsidP="0073394D">
    <w:pPr>
      <w:pStyle w:val="Footer"/>
      <w:rPr>
        <w:rFonts w:asciiTheme="minorHAnsi" w:hAnsiTheme="minorHAnsi"/>
        <w:sz w:val="18"/>
        <w:szCs w:val="18"/>
      </w:rPr>
    </w:pPr>
    <w:r w:rsidRPr="001B484B">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E711111" w:rsidR="00D23CBC" w:rsidRDefault="00D23CBC" w:rsidP="008673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09594" w14:textId="77777777" w:rsidR="00FA2FBB" w:rsidRDefault="00FA2FBB" w:rsidP="00E852B1">
      <w:pPr>
        <w:spacing w:after="0" w:line="240" w:lineRule="auto"/>
      </w:pPr>
      <w:r>
        <w:separator/>
      </w:r>
    </w:p>
  </w:footnote>
  <w:footnote w:type="continuationSeparator" w:id="0">
    <w:p w14:paraId="2D04FEC6" w14:textId="77777777" w:rsidR="00FA2FBB" w:rsidRDefault="00FA2FBB"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0FE58B4E" w:rsidR="00D23CBC" w:rsidRDefault="00D23CBC">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720003BA"/>
    <w:lvl w:ilvl="0" w:tplc="6B08739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095A19A2"/>
    <w:lvl w:ilvl="0" w:tplc="E59C19E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39DAB0C8"/>
    <w:lvl w:ilvl="0" w:tplc="53F68A64">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C3122296"/>
    <w:lvl w:ilvl="0" w:tplc="19540246">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8387D02"/>
    <w:lvl w:ilvl="0" w:tplc="2572F558">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3F947256"/>
    <w:lvl w:ilvl="0" w:tplc="E124D9D0">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B2945"/>
    <w:rsid w:val="006C318A"/>
    <w:rsid w:val="006E04F2"/>
    <w:rsid w:val="007116A1"/>
    <w:rsid w:val="0073394D"/>
    <w:rsid w:val="007670AA"/>
    <w:rsid w:val="00775E5E"/>
    <w:rsid w:val="0079443F"/>
    <w:rsid w:val="007956A3"/>
    <w:rsid w:val="007B191F"/>
    <w:rsid w:val="007C21B7"/>
    <w:rsid w:val="007D5A09"/>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27DA"/>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3B2"/>
    <w:rsid w:val="00B729F4"/>
    <w:rsid w:val="00BD406C"/>
    <w:rsid w:val="00BD7417"/>
    <w:rsid w:val="00BE4503"/>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32E4"/>
    <w:rsid w:val="00F24E1F"/>
    <w:rsid w:val="00F30824"/>
    <w:rsid w:val="00F41E9D"/>
    <w:rsid w:val="00F50A01"/>
    <w:rsid w:val="00F74956"/>
    <w:rsid w:val="00F7499B"/>
    <w:rsid w:val="00F749A2"/>
    <w:rsid w:val="00F90B44"/>
    <w:rsid w:val="00F94494"/>
    <w:rsid w:val="00FA2FBB"/>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2787-1963-4433-B8DE-151AEC06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Jacqui Sugden</cp:lastModifiedBy>
  <cp:revision>2</cp:revision>
  <cp:lastPrinted>2015-08-04T11:31:00Z</cp:lastPrinted>
  <dcterms:created xsi:type="dcterms:W3CDTF">2020-10-07T08:18:00Z</dcterms:created>
  <dcterms:modified xsi:type="dcterms:W3CDTF">2020-10-07T08:18:00Z</dcterms:modified>
</cp:coreProperties>
</file>